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7F" w:rsidRPr="002B747F" w:rsidRDefault="002B747F" w:rsidP="002B74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2B747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B747F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F6DBBD4" wp14:editId="5FCB9E56">
            <wp:simplePos x="0" y="0"/>
            <wp:positionH relativeFrom="margin">
              <wp:posOffset>-88900</wp:posOffset>
            </wp:positionH>
            <wp:positionV relativeFrom="margin">
              <wp:posOffset>27305</wp:posOffset>
            </wp:positionV>
            <wp:extent cx="714375" cy="857250"/>
            <wp:effectExtent l="0" t="0" r="9525" b="0"/>
            <wp:wrapNone/>
            <wp:docPr id="31" name="Рисунок 31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47F"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</w:t>
      </w:r>
      <w:r w:rsidRPr="002B747F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2B747F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  <w:t xml:space="preserve">                   Департамент розвитку</w:t>
      </w:r>
      <w:r w:rsidRPr="002B747F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  <w:t xml:space="preserve">                   Управління освіти</w:t>
      </w:r>
      <w:r w:rsidRPr="002B747F">
        <w:rPr>
          <w:rFonts w:ascii="municipal_lviv_108" w:eastAsia="Times New Roman" w:hAnsi="municipal_lviv_108" w:cs="Times New Roman"/>
          <w:lang w:eastAsia="uk-UA"/>
        </w:rPr>
        <w:br/>
      </w:r>
      <w:r w:rsidRPr="002B747F"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Відділ освіти Галицького та Франківського районів</w:t>
      </w:r>
    </w:p>
    <w:p w:rsidR="002B747F" w:rsidRPr="002B747F" w:rsidRDefault="002B747F" w:rsidP="002B747F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2B747F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2B747F" w:rsidRPr="002B747F" w:rsidRDefault="002B747F" w:rsidP="002B747F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2B747F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2B747F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2B747F">
        <w:rPr>
          <w:rFonts w:ascii="municipal_lviv_108" w:eastAsia="Times New Roman" w:hAnsi="municipal_lviv_108" w:cs="Times New Roman"/>
          <w:lang w:eastAsia="uk-UA"/>
        </w:rPr>
        <w:t>, вул. І. Пулюя, 16 тел.: (032) 263-02-61 , e-</w:t>
      </w:r>
      <w:proofErr w:type="spellStart"/>
      <w:r w:rsidRPr="002B747F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2B747F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2B747F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</w:t>
      </w:r>
      <w:proofErr w:type="spellEnd"/>
      <w:r w:rsidRPr="002B747F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@</w:t>
      </w:r>
      <w:proofErr w:type="spellStart"/>
      <w:r w:rsidRPr="002B747F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gmail</w:t>
      </w:r>
      <w:proofErr w:type="spellEnd"/>
      <w:r w:rsidRPr="002B747F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2B747F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2B747F" w:rsidRPr="002B747F" w:rsidRDefault="002B747F" w:rsidP="002B747F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2B747F" w:rsidRPr="002B747F" w:rsidRDefault="002B747F" w:rsidP="002B747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2B747F" w:rsidRPr="002B747F" w:rsidRDefault="002B747F" w:rsidP="002B74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B74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2B747F" w:rsidRPr="002B747F" w:rsidRDefault="002B747F" w:rsidP="002B747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74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06.06.2024                                           </w:t>
      </w:r>
      <w:proofErr w:type="spellStart"/>
      <w:r w:rsidRPr="002B747F">
        <w:rPr>
          <w:rFonts w:ascii="Times New Roman" w:eastAsia="Times New Roman" w:hAnsi="Times New Roman" w:cs="Times New Roman"/>
          <w:sz w:val="28"/>
          <w:szCs w:val="28"/>
          <w:lang w:eastAsia="uk-UA"/>
        </w:rPr>
        <w:t>м.Львів</w:t>
      </w:r>
      <w:proofErr w:type="spellEnd"/>
      <w:r w:rsidRPr="002B74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№</w:t>
      </w:r>
    </w:p>
    <w:p w:rsidR="002B747F" w:rsidRPr="002B747F" w:rsidRDefault="002B747F" w:rsidP="002B7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7F">
        <w:rPr>
          <w:rFonts w:ascii="Times New Roman" w:hAnsi="Times New Roman" w:cs="Times New Roman"/>
          <w:b/>
          <w:sz w:val="28"/>
          <w:szCs w:val="28"/>
        </w:rPr>
        <w:t xml:space="preserve">Про підсумки навчальних 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7F">
        <w:rPr>
          <w:rFonts w:ascii="Times New Roman" w:hAnsi="Times New Roman" w:cs="Times New Roman"/>
          <w:b/>
          <w:sz w:val="28"/>
          <w:szCs w:val="28"/>
        </w:rPr>
        <w:t xml:space="preserve">досягнень учнів ліцею за 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7F">
        <w:rPr>
          <w:rFonts w:ascii="Times New Roman" w:hAnsi="Times New Roman" w:cs="Times New Roman"/>
          <w:b/>
          <w:sz w:val="28"/>
          <w:szCs w:val="28"/>
        </w:rPr>
        <w:t>2023/2024 навчальний рік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На виконання Закону України «Про загальну середню освіту»,  Державного стандарту початкової освіти, затвердженого Постановою Кабінету Міністрів України №87 від 21.02.2018, Постанови Кабінету Міністрів України від 23.11.2011 №1392 «Про затвердження стандарту базової і повної загальної середньої освіти», наказу Міністерства освіти і науки України від 21.08.2013 №1222 «Про затвердження орієнтовних вимог оцінювання навчальних досягнень учнів із базових дисциплін у системі загальної середньої освіти», керуючись Критеріями оцінювання навчальних досягнень учнів у системі загальної середньої освіти, затверджених наказом Міністерства освіти і науки України від 19.08.2016 №1009 «Про внесення змін до наказу Міністерства освіти і науки України від 21.08.2013 №1222», наказом Міністерства освіти і науки України від 27.08.2019 №1154 «Про затвердження методичних рекомендацій щодо оцінювання навчальних досягнень учнів другого класу», наказом Міністерства освіти і науки України від 13.07.2021 №813 «Методичні рекомендації щодо оцінювання результатів навчання учнів 1-4 класів ЗЗСО» у </w:t>
      </w:r>
      <w:r w:rsidRPr="002B74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747F">
        <w:rPr>
          <w:rFonts w:ascii="Times New Roman" w:hAnsi="Times New Roman" w:cs="Times New Roman"/>
          <w:sz w:val="24"/>
          <w:szCs w:val="24"/>
        </w:rPr>
        <w:t xml:space="preserve"> та </w:t>
      </w:r>
      <w:r w:rsidRPr="002B74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747F">
        <w:rPr>
          <w:rFonts w:ascii="Times New Roman" w:hAnsi="Times New Roman" w:cs="Times New Roman"/>
          <w:sz w:val="24"/>
          <w:szCs w:val="24"/>
        </w:rPr>
        <w:t xml:space="preserve"> семестрах 2023/2024 навчального року продовжено роботу щодо впровадження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компетентісного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 xml:space="preserve"> підходу до формування змісту та організації освітнього процесу.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Використовуючи індивідуальні, групові та фронтальні форми опитування, здійснено поточне оцінювання знань учнів з предметів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інваріативної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 xml:space="preserve"> та варіативної складової навчального плану.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На підставі результатів опанування учнями матеріалу тем впродовж їх вивчення з урахуванням поточних оцінок, різних видів навчальних, контрольних письмових робіт та навчальної активності школярів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учителями-предметниками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 xml:space="preserve"> виставлені тематичні оцінки, а на основі їх середнього арифметичного значення виставлено оцінки за </w:t>
      </w:r>
      <w:r w:rsidRPr="002B74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747F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Pr="002B74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747F">
        <w:rPr>
          <w:rFonts w:ascii="Times New Roman" w:hAnsi="Times New Roman" w:cs="Times New Roman"/>
          <w:sz w:val="24"/>
          <w:szCs w:val="24"/>
        </w:rPr>
        <w:t>та за рік. Врахована динаміка особистих навчальних досягнень учнів з предметів впродовж навчального року, важливість тем, тривалість їх вивчення, складність змісту, тощо.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Згідно з планом роботи ліцею, з метою вивчення рівня знань, умінь і навичок учнів та стану викладання предметів, в кінці  2023/2024 навчального року адміністрацією ліцею </w:t>
      </w:r>
      <w:r w:rsidRPr="002B747F">
        <w:rPr>
          <w:rFonts w:ascii="Times New Roman" w:hAnsi="Times New Roman" w:cs="Times New Roman"/>
          <w:sz w:val="24"/>
          <w:szCs w:val="24"/>
        </w:rPr>
        <w:lastRenderedPageBreak/>
        <w:t xml:space="preserve">було проведено  аналіз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рівневих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 xml:space="preserve"> навчальних досягнень учнів 3-11 класів (787 учні) (Додаток 1).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У ліцеї навчається 1020 учнів 1-11 класів, що на 24 учнів більше ніж минулого навчального року. Учні 1-2 класів оцінюються вербально.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Учнів школи на кінець 2023/2024 навчального року оцінено відповідно до критеріїв оцінювання навчальних досягнень учнів початкової школи та критеріїв оцінювання навчальних досягнень учнів основної й старшої школи.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Станом на кінець 2023/2024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>. 111 учні навчалися на індивідуальній формі навчання, а саме, двоє учнів (Войцехівська С. 5-В клас, Івасько В. 11-А клас) – педагогічний патронаж, 109 учні ліцею – сімейна форма.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Таблиця 1. Розподіл учнів по паралелях та класах, які навчаються на індивідуальній формі навчання.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1586"/>
        <w:gridCol w:w="1586"/>
        <w:gridCol w:w="1587"/>
        <w:gridCol w:w="1582"/>
        <w:gridCol w:w="1606"/>
      </w:tblGrid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Паралель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Разом учнів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2B747F" w:rsidRPr="002B747F" w:rsidTr="00AD453D"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2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2B747F" w:rsidRPr="002B747F" w:rsidRDefault="002B747F" w:rsidP="002B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7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 Навчальні досягнення учнів з факультативних та індивідуальних занять фіксуються в окремих (спеціальних) журналах, і не оцінюються в обов’язковому порядку.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Проаналізувавши стан успішності учнів окремо по класах та паралелях, адміністрація ліцею встановила, що із загальної кількості учнів 3-11 класів (787) мають високий рівень знань – 141(17,9%), достатній рівень знань – 321(40,8%), середній рівень – 317(40,3%), початковий – 8(1%). Отже, 58,7% учнів 3-11 класів ліцею мають достатній та високий рівень навченості.( таблиця – Додаток 1)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За результатами навчальних досягнень учнів 9 та 11 класів та за рішенням педагогічної ради № 4 від 31.05.2024 року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- свідоцтва про базову середню освіту з відзнакою отримали учні: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9-А клас: 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1.Василецький Роман Мирославович;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2.Жох Діана Ярославівна;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3.Ларін Максим Вадимович;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4.Притула надія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вікторівна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>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5.Соханська Вікторія Віталіївна;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9-Б клас: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1.Пундик Євгенія Юріївна;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9-В клас: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lastRenderedPageBreak/>
        <w:t>1.Кончак Олеся Андріївна;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2.Кошелінська Марія Андріївна;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4.Остап’юк-Грінько Назар Назарович;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- отримали свідоцтво про повну загальну середню  освіту та нагороджені «срібною медаллю» учениці 11-А класу: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1.Тищенко </w:t>
      </w:r>
      <w:proofErr w:type="spellStart"/>
      <w:r w:rsidRPr="002B747F">
        <w:rPr>
          <w:rFonts w:ascii="Times New Roman" w:hAnsi="Times New Roman" w:cs="Times New Roman"/>
          <w:sz w:val="24"/>
          <w:szCs w:val="24"/>
        </w:rPr>
        <w:t>Крістіна</w:t>
      </w:r>
      <w:proofErr w:type="spellEnd"/>
      <w:r w:rsidRPr="002B747F">
        <w:rPr>
          <w:rFonts w:ascii="Times New Roman" w:hAnsi="Times New Roman" w:cs="Times New Roman"/>
          <w:sz w:val="24"/>
          <w:szCs w:val="24"/>
        </w:rPr>
        <w:t xml:space="preserve"> Олексіївна;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2.Черевко Валерія Андріївна;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- отримали свідоцтва про повну загальну середню освіту та нагороджені «золотою медаллю» учні 11-А класу: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1.Бабицька Софія Русланівна;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2.Бень Аліна Сергіївна;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3.Ланкіна Анна Михайлівна;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>4.Муравльов Сергій Віталійович.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Питання навчальних досягнень учнів розглядалися на нараді при директорові й на засіданнях шкільних освітніх галузей, аналізувалися фактори впливу змішаної форми навчання під час воєнного стану в Україні на рівень навчальних досягнень учнів.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У основній школі, 5-9 класах, навчається 456 учнів. Якість навчальних досягнень становить 50,9% (232 учнів). На високому рівні за підсумками 2023/2024 навчального року навчається 13,4% (61 учнів 5-9 класів).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У старшій школі, 10-11 класи, навчається 80 учнів.  Якість навчальних досягнень становить 47,5% (38учні). На високому рівні за підсумками 2023/2024 навчального року навчається 18,75% (15 учнів 10-11 класів).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Аналіз якості рівня навчальних досягнень учнів за 2023/2024 навчальний рік (58,7%) показує, що в порівнянні із </w:t>
      </w:r>
      <w:r w:rsidRPr="002B74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747F">
        <w:rPr>
          <w:rFonts w:ascii="Times New Roman" w:hAnsi="Times New Roman" w:cs="Times New Roman"/>
          <w:sz w:val="24"/>
          <w:szCs w:val="24"/>
        </w:rPr>
        <w:t xml:space="preserve"> семестром (47%) рівень навчальних досягнень значно виріс (11,7%).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На підставі вище зазначеного,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47F">
        <w:rPr>
          <w:rFonts w:ascii="Times New Roman" w:hAnsi="Times New Roman" w:cs="Times New Roman"/>
          <w:sz w:val="28"/>
          <w:szCs w:val="28"/>
        </w:rPr>
        <w:t>Н А К А З У Ю: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>1. Вважати якість навчальної роботи ліцею за підсумками 2023/2024 навчального року задовільною.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2.Заступникам директора з освітнього процесу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Грудлевській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М., Ковальчук О.,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Беднарчуку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Чекушеній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Н.: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2.1.Проаналізувати рівень успішності учнів з предметів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інваріативної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частини навчального плану  по класам та паралелям за 2023/2024 навчальний рік.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2.2.Тримати на контролі дотримання вчителями Критеріїв оцінювання навчальних досягнень учнів у системі загальної середньої освіти, Інструкції з ведення класного журналу учнів 1-11 класів загальноосвітніх навчальних закладів, Положення про золоту медаль «За високі досягнення в навчанні» та срібну медаль «За досягнення в навчанні».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lastRenderedPageBreak/>
        <w:t xml:space="preserve">3.Головам шкільних освітніх галузей: Литвинчук В.І.,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Душнюк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І., Возняк О., Гливі Т.,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Галелі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Мишковському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Ваврук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Н., Климко М.,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Ю.: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3.1.Ретельно проаналізувати та обговорити результати навчальних досягнень учнів, виявити причини навченості учнів на початковому та середньому рівнях та сприяти їх покращенню.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3.2. Забезпечити додаткову роз’яснювальну роботу щодо дотримання Критеріїв оцінювання навчальних досягнень учнів у системі загальної середньої освіти, Інструкції з ведення класного журналу учнів 1-11 класів загальноосвітніх навчальних закладів.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3.3.Спрямувати роботу вчителів на підвищення рівня навчальних досягнень учнів шляхом формування в них навичок самостійної роботи, закріплення знань; активніше використовувати на уроках інноваційні форми та методи навчання.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Учителям-предметникам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>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4.1.Відстежувати рівень успішності учнів, які можуть покращити свої навчальні досягнення.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4.2.Активізувати індивідуальну консультаційну роботу з учнями, спрямовану на поглиблення знань з базових дисциплін.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4.3.Використовувати інноваційні форми контролю за рівнем засвоєння навчального матеріалу.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4.4.Залучати учнів до активної діяльності під час формування нових знань.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4.5.Застосовувати на уроках  проектні технології, завдання на розвиток критичного мислення, дослідницько-пошукові завдання, тестові форми.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4.6.Під час організації навчально-виховного процесу на кожному уроці слід особливу увагу приділяти завданням на формування в учнів умінь аналізувати, порівнювати та узагальнювати навчальний матеріал на всіх етапах уроку.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4.7. Чітко спланувати та неухильно дотримуватися змісту навчальних програм та їх вимог до виконання контрольних, практичних, самостійних, тематичних робіт.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>5. Класним керівникам 1-11 класів: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5.1. Довести до відома батьківської спільноти підсумки навчальних досягнень учнів за 2023/2024 навчальний рік.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5.2.Скласти рейтинг учнів класу за підсумками навчальних досягнень учнів у 2023/2024 навчальному році, а також аналіз у  порівнянні з минулим навчальним роком та довести до відома батьків.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6.Відповідальному за сайт заступнику директора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Беднарчуку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 xml:space="preserve"> А. розмістити таблицю рейтингу успішності за 2023/2024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>. на сайті ліцею.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lastRenderedPageBreak/>
        <w:t>7. Контроль за виконання даного наказу залишаю за собою.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Директор                                              Ірина ХМІЛЬ</w:t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747F">
        <w:rPr>
          <w:rFonts w:ascii="Times New Roman" w:hAnsi="Times New Roman" w:cs="Times New Roman"/>
          <w:sz w:val="28"/>
          <w:szCs w:val="28"/>
        </w:rPr>
        <w:t xml:space="preserve"> З наказом ознайомлені :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БЕДНАРЧУК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ГЕЛЕЛА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 ЛИТВИНЧУК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Юлія КАРПЮК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КЛИМКО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 ГЛИВА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Наталя ЧЕКУШИНА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Calibri" w:hAnsi="Times New Roman" w:cs="Times New Roman"/>
          <w:sz w:val="28"/>
          <w:szCs w:val="28"/>
        </w:rPr>
        <w:t>Ірина ДУШНЮК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ВОЗНЯК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БІЛАС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74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747F">
        <w:rPr>
          <w:rFonts w:ascii="Calibri" w:eastAsia="Calibri" w:hAnsi="Calibri"/>
          <w:i/>
        </w:rPr>
        <w:t xml:space="preserve">___. ___. 2024  р.       ___________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МИШКОВСЬКИЙ</w:t>
      </w:r>
    </w:p>
    <w:p w:rsidR="002B747F" w:rsidRPr="002B747F" w:rsidRDefault="002B747F" w:rsidP="002B747F">
      <w:pPr>
        <w:tabs>
          <w:tab w:val="right" w:pos="0"/>
          <w:tab w:val="left" w:pos="2977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</w:t>
      </w:r>
      <w:bookmarkStart w:id="0" w:name="_GoBack"/>
      <w:bookmarkEnd w:id="0"/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ДІДИК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B747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747F">
        <w:rPr>
          <w:rFonts w:ascii="Calibri" w:eastAsia="Calibri" w:hAnsi="Calibri"/>
          <w:i/>
        </w:rPr>
        <w:t xml:space="preserve">___. ___. 2024 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ГРУДЛЕВСЬКА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sz w:val="16"/>
          <w:szCs w:val="16"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підп.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                                                    </w:t>
      </w:r>
      <w:r w:rsidRPr="002B747F">
        <w:rPr>
          <w:rFonts w:ascii="Calibri" w:eastAsia="Calibri" w:hAnsi="Calibri"/>
          <w:i/>
        </w:rPr>
        <w:t xml:space="preserve">___. ___. 2024 р.       ___________     </w:t>
      </w:r>
      <w:r w:rsidRPr="002B7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Анастасія ВАВРУК</w:t>
      </w:r>
    </w:p>
    <w:p w:rsidR="002B747F" w:rsidRPr="002B747F" w:rsidRDefault="002B747F" w:rsidP="002B747F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 w:rsidRPr="002B747F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підпис</w:t>
      </w:r>
      <w:r w:rsidRPr="002B74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2B747F" w:rsidRPr="002B747F" w:rsidRDefault="002B747F" w:rsidP="002B7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</w:pPr>
      <w:r w:rsidRPr="002B747F">
        <w:rPr>
          <w:rFonts w:ascii="Calibri" w:eastAsia="Calibri" w:hAnsi="Calibri"/>
          <w:i/>
        </w:rPr>
        <w:t xml:space="preserve">                                                            </w:t>
      </w:r>
    </w:p>
    <w:p w:rsidR="002B747F" w:rsidRPr="002B747F" w:rsidRDefault="002B747F" w:rsidP="002B747F">
      <w:pPr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2B747F">
        <w:rPr>
          <w:rFonts w:ascii="Calibri" w:eastAsia="Calibri" w:hAnsi="Calibri"/>
        </w:rPr>
        <w:t xml:space="preserve">                                                             </w:t>
      </w: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47F" w:rsidRPr="002B747F" w:rsidRDefault="002B747F" w:rsidP="002B7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733" w:rsidRDefault="00395733"/>
    <w:p w:rsidR="002B747F" w:rsidRDefault="002B747F"/>
    <w:p w:rsidR="002B747F" w:rsidRDefault="002B747F"/>
    <w:p w:rsidR="002B747F" w:rsidRDefault="002B747F"/>
    <w:tbl>
      <w:tblPr>
        <w:tblStyle w:val="a3"/>
        <w:tblpPr w:leftFromText="180" w:rightFromText="180" w:vertAnchor="page" w:horzAnchor="margin" w:tblpY="2731"/>
        <w:tblW w:w="9757" w:type="dxa"/>
        <w:tblLook w:val="04A0" w:firstRow="1" w:lastRow="0" w:firstColumn="1" w:lastColumn="0" w:noHBand="0" w:noVBand="1"/>
      </w:tblPr>
      <w:tblGrid>
        <w:gridCol w:w="960"/>
        <w:gridCol w:w="1117"/>
        <w:gridCol w:w="1272"/>
        <w:gridCol w:w="648"/>
        <w:gridCol w:w="1272"/>
        <w:gridCol w:w="648"/>
        <w:gridCol w:w="1272"/>
        <w:gridCol w:w="648"/>
        <w:gridCol w:w="1395"/>
        <w:gridCol w:w="525"/>
      </w:tblGrid>
      <w:tr w:rsidR="002B747F" w:rsidRPr="002B747F" w:rsidTr="00AD453D">
        <w:trPr>
          <w:trHeight w:val="290"/>
        </w:trPr>
        <w:tc>
          <w:tcPr>
            <w:tcW w:w="960" w:type="dxa"/>
            <w:vMerge w:val="restart"/>
            <w:noWrap/>
            <w:vAlign w:val="center"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№ з/п</w:t>
            </w:r>
          </w:p>
        </w:tc>
        <w:tc>
          <w:tcPr>
            <w:tcW w:w="1117" w:type="dxa"/>
            <w:vMerge w:val="restart"/>
            <w:noWrap/>
            <w:vAlign w:val="center"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Паралель</w:t>
            </w:r>
          </w:p>
        </w:tc>
        <w:tc>
          <w:tcPr>
            <w:tcW w:w="1920" w:type="dxa"/>
            <w:gridSpan w:val="2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Високий рівень</w:t>
            </w:r>
          </w:p>
        </w:tc>
        <w:tc>
          <w:tcPr>
            <w:tcW w:w="1920" w:type="dxa"/>
            <w:gridSpan w:val="2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Достатній рівень</w:t>
            </w:r>
          </w:p>
        </w:tc>
        <w:tc>
          <w:tcPr>
            <w:tcW w:w="1920" w:type="dxa"/>
            <w:gridSpan w:val="2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Середній рівень</w:t>
            </w:r>
          </w:p>
        </w:tc>
        <w:tc>
          <w:tcPr>
            <w:tcW w:w="1920" w:type="dxa"/>
            <w:gridSpan w:val="2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Початковий рівень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vMerge/>
            <w:hideMark/>
          </w:tcPr>
          <w:p w:rsidR="002B747F" w:rsidRPr="002B747F" w:rsidRDefault="002B747F" w:rsidP="002B747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17" w:type="dxa"/>
            <w:vMerge/>
            <w:hideMark/>
          </w:tcPr>
          <w:p w:rsidR="002B747F" w:rsidRPr="002B747F" w:rsidRDefault="002B747F" w:rsidP="002B747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К-сть</w:t>
            </w:r>
            <w:proofErr w:type="spellEnd"/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38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29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68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52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21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16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5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27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23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59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50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30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25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29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27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45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41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35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32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13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13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52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54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32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33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7-мі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7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7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35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33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63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60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8-мі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23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38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34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57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9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11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16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19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60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70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7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13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17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31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30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56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  <w:tr w:rsidR="002B747F" w:rsidRPr="002B747F" w:rsidTr="00AD453D">
        <w:trPr>
          <w:trHeight w:val="290"/>
        </w:trPr>
        <w:tc>
          <w:tcPr>
            <w:tcW w:w="960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117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11-ті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8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31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6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23</w:t>
            </w:r>
          </w:p>
        </w:tc>
        <w:tc>
          <w:tcPr>
            <w:tcW w:w="1272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12</w:t>
            </w:r>
          </w:p>
        </w:tc>
        <w:tc>
          <w:tcPr>
            <w:tcW w:w="648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46</w:t>
            </w:r>
          </w:p>
        </w:tc>
        <w:tc>
          <w:tcPr>
            <w:tcW w:w="139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0</w:t>
            </w:r>
          </w:p>
        </w:tc>
        <w:tc>
          <w:tcPr>
            <w:tcW w:w="525" w:type="dxa"/>
            <w:noWrap/>
            <w:hideMark/>
          </w:tcPr>
          <w:p w:rsidR="002B747F" w:rsidRPr="002B747F" w:rsidRDefault="002B747F" w:rsidP="002B747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2B747F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0</w:t>
            </w:r>
          </w:p>
        </w:tc>
      </w:tr>
    </w:tbl>
    <w:p w:rsidR="002B747F" w:rsidRPr="002B747F" w:rsidRDefault="002B747F" w:rsidP="002B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2B7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2B747F">
        <w:rPr>
          <w:rFonts w:ascii="Times New Roman" w:hAnsi="Times New Roman" w:cs="Times New Roman"/>
          <w:sz w:val="24"/>
          <w:szCs w:val="24"/>
        </w:rPr>
        <w:t>Додаток 1</w:t>
      </w:r>
    </w:p>
    <w:p w:rsidR="002B747F" w:rsidRPr="002B747F" w:rsidRDefault="002B747F" w:rsidP="002B747F">
      <w:pPr>
        <w:rPr>
          <w:rFonts w:ascii="Times New Roman" w:hAnsi="Times New Roman" w:cs="Times New Roman"/>
        </w:rPr>
      </w:pPr>
    </w:p>
    <w:p w:rsidR="002B747F" w:rsidRPr="002B747F" w:rsidRDefault="002B747F" w:rsidP="002B7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47F">
        <w:rPr>
          <w:rFonts w:ascii="Times New Roman" w:hAnsi="Times New Roman" w:cs="Times New Roman"/>
          <w:sz w:val="28"/>
          <w:szCs w:val="28"/>
        </w:rPr>
        <w:t xml:space="preserve">Рівень навчальних досягнень за 2023/2024 </w:t>
      </w:r>
      <w:proofErr w:type="spellStart"/>
      <w:r w:rsidRPr="002B747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B747F">
        <w:rPr>
          <w:rFonts w:ascii="Times New Roman" w:hAnsi="Times New Roman" w:cs="Times New Roman"/>
          <w:sz w:val="28"/>
          <w:szCs w:val="28"/>
        </w:rPr>
        <w:t>.</w:t>
      </w:r>
    </w:p>
    <w:p w:rsidR="002B747F" w:rsidRPr="002B747F" w:rsidRDefault="002B747F" w:rsidP="002B747F">
      <w:pPr>
        <w:rPr>
          <w:rFonts w:ascii="Times New Roman" w:hAnsi="Times New Roman" w:cs="Times New Roman"/>
        </w:rPr>
      </w:pPr>
    </w:p>
    <w:p w:rsidR="002B747F" w:rsidRPr="002B747F" w:rsidRDefault="002B747F" w:rsidP="002B747F">
      <w:pPr>
        <w:rPr>
          <w:rFonts w:ascii="Times New Roman" w:hAnsi="Times New Roman" w:cs="Times New Roman"/>
        </w:rPr>
      </w:pPr>
    </w:p>
    <w:p w:rsidR="002B747F" w:rsidRPr="002B747F" w:rsidRDefault="002B747F" w:rsidP="002B747F">
      <w:pPr>
        <w:rPr>
          <w:rFonts w:ascii="Times New Roman" w:hAnsi="Times New Roman" w:cs="Times New Roman"/>
        </w:rPr>
      </w:pPr>
      <w:r w:rsidRPr="002B747F">
        <w:rPr>
          <w:noProof/>
          <w:lang w:eastAsia="uk-UA"/>
        </w:rPr>
        <w:drawing>
          <wp:inline distT="0" distB="0" distL="0" distR="0" wp14:anchorId="4ABE9572" wp14:editId="0C780CE3">
            <wp:extent cx="6120765" cy="4696289"/>
            <wp:effectExtent l="0" t="0" r="13335" b="9525"/>
            <wp:docPr id="32" name="Діагра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747F" w:rsidRDefault="002B747F"/>
    <w:sectPr w:rsidR="002B747F" w:rsidSect="002B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7F"/>
    <w:rsid w:val="002B747F"/>
    <w:rsid w:val="003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istrator\Desktop\&#1053;&#1086;&#1074;&#1080;&#1081;%20&#1040;&#1088;&#1082;&#1091;&#1096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Аркуш2!$B$1:$B$2</c:f>
              <c:strCache>
                <c:ptCount val="1"/>
                <c:pt idx="0">
                  <c:v>Високий рівень %</c:v>
                </c:pt>
              </c:strCache>
            </c:strRef>
          </c:tx>
          <c:invertIfNegative val="0"/>
          <c:cat>
            <c:strRef>
              <c:f>Аркуш2!$A$3:$A$11</c:f>
              <c:strCache>
                <c:ptCount val="9"/>
                <c:pt idx="0">
                  <c:v>3-ті</c:v>
                </c:pt>
                <c:pt idx="1">
                  <c:v>4-ті</c:v>
                </c:pt>
                <c:pt idx="2">
                  <c:v>5-ті</c:v>
                </c:pt>
                <c:pt idx="3">
                  <c:v>6-ті</c:v>
                </c:pt>
                <c:pt idx="4">
                  <c:v>7-мі</c:v>
                </c:pt>
                <c:pt idx="5">
                  <c:v>8-мі</c:v>
                </c:pt>
                <c:pt idx="6">
                  <c:v>9-ті</c:v>
                </c:pt>
                <c:pt idx="7">
                  <c:v>10-ті</c:v>
                </c:pt>
                <c:pt idx="8">
                  <c:v>11-ті</c:v>
                </c:pt>
              </c:strCache>
            </c:strRef>
          </c:cat>
          <c:val>
            <c:numRef>
              <c:f>Аркуш2!$B$3:$B$11</c:f>
              <c:numCache>
                <c:formatCode>General</c:formatCode>
                <c:ptCount val="9"/>
                <c:pt idx="0">
                  <c:v>29</c:v>
                </c:pt>
                <c:pt idx="1">
                  <c:v>23</c:v>
                </c:pt>
                <c:pt idx="2">
                  <c:v>27</c:v>
                </c:pt>
                <c:pt idx="3">
                  <c:v>13</c:v>
                </c:pt>
                <c:pt idx="4">
                  <c:v>7</c:v>
                </c:pt>
                <c:pt idx="5">
                  <c:v>5</c:v>
                </c:pt>
                <c:pt idx="6">
                  <c:v>11</c:v>
                </c:pt>
                <c:pt idx="7">
                  <c:v>13</c:v>
                </c:pt>
                <c:pt idx="8">
                  <c:v>31</c:v>
                </c:pt>
              </c:numCache>
            </c:numRef>
          </c:val>
        </c:ser>
        <c:ser>
          <c:idx val="1"/>
          <c:order val="1"/>
          <c:tx>
            <c:strRef>
              <c:f>Аркуш2!$C$1:$C$2</c:f>
              <c:strCache>
                <c:ptCount val="1"/>
                <c:pt idx="0">
                  <c:v>Достатній рівень %</c:v>
                </c:pt>
              </c:strCache>
            </c:strRef>
          </c:tx>
          <c:invertIfNegative val="0"/>
          <c:cat>
            <c:strRef>
              <c:f>Аркуш2!$A$3:$A$11</c:f>
              <c:strCache>
                <c:ptCount val="9"/>
                <c:pt idx="0">
                  <c:v>3-ті</c:v>
                </c:pt>
                <c:pt idx="1">
                  <c:v>4-ті</c:v>
                </c:pt>
                <c:pt idx="2">
                  <c:v>5-ті</c:v>
                </c:pt>
                <c:pt idx="3">
                  <c:v>6-ті</c:v>
                </c:pt>
                <c:pt idx="4">
                  <c:v>7-мі</c:v>
                </c:pt>
                <c:pt idx="5">
                  <c:v>8-мі</c:v>
                </c:pt>
                <c:pt idx="6">
                  <c:v>9-ті</c:v>
                </c:pt>
                <c:pt idx="7">
                  <c:v>10-ті</c:v>
                </c:pt>
                <c:pt idx="8">
                  <c:v>11-ті</c:v>
                </c:pt>
              </c:strCache>
            </c:strRef>
          </c:cat>
          <c:val>
            <c:numRef>
              <c:f>Аркуш2!$C$3:$C$11</c:f>
              <c:numCache>
                <c:formatCode>General</c:formatCode>
                <c:ptCount val="9"/>
                <c:pt idx="0">
                  <c:v>52</c:v>
                </c:pt>
                <c:pt idx="1">
                  <c:v>50</c:v>
                </c:pt>
                <c:pt idx="2">
                  <c:v>41</c:v>
                </c:pt>
                <c:pt idx="3">
                  <c:v>54</c:v>
                </c:pt>
                <c:pt idx="4">
                  <c:v>33</c:v>
                </c:pt>
                <c:pt idx="5">
                  <c:v>38</c:v>
                </c:pt>
                <c:pt idx="6">
                  <c:v>19</c:v>
                </c:pt>
                <c:pt idx="7">
                  <c:v>31</c:v>
                </c:pt>
                <c:pt idx="8">
                  <c:v>23</c:v>
                </c:pt>
              </c:numCache>
            </c:numRef>
          </c:val>
        </c:ser>
        <c:ser>
          <c:idx val="2"/>
          <c:order val="2"/>
          <c:tx>
            <c:strRef>
              <c:f>Аркуш2!$D$1:$D$2</c:f>
              <c:strCache>
                <c:ptCount val="1"/>
                <c:pt idx="0">
                  <c:v>Середній рівень %</c:v>
                </c:pt>
              </c:strCache>
            </c:strRef>
          </c:tx>
          <c:invertIfNegative val="0"/>
          <c:cat>
            <c:strRef>
              <c:f>Аркуш2!$A$3:$A$11</c:f>
              <c:strCache>
                <c:ptCount val="9"/>
                <c:pt idx="0">
                  <c:v>3-ті</c:v>
                </c:pt>
                <c:pt idx="1">
                  <c:v>4-ті</c:v>
                </c:pt>
                <c:pt idx="2">
                  <c:v>5-ті</c:v>
                </c:pt>
                <c:pt idx="3">
                  <c:v>6-ті</c:v>
                </c:pt>
                <c:pt idx="4">
                  <c:v>7-мі</c:v>
                </c:pt>
                <c:pt idx="5">
                  <c:v>8-мі</c:v>
                </c:pt>
                <c:pt idx="6">
                  <c:v>9-ті</c:v>
                </c:pt>
                <c:pt idx="7">
                  <c:v>10-ті</c:v>
                </c:pt>
                <c:pt idx="8">
                  <c:v>11-ті</c:v>
                </c:pt>
              </c:strCache>
            </c:strRef>
          </c:cat>
          <c:val>
            <c:numRef>
              <c:f>Аркуш2!$D$3:$D$11</c:f>
              <c:numCache>
                <c:formatCode>General</c:formatCode>
                <c:ptCount val="9"/>
                <c:pt idx="0">
                  <c:v>16</c:v>
                </c:pt>
                <c:pt idx="1">
                  <c:v>25</c:v>
                </c:pt>
                <c:pt idx="2">
                  <c:v>32</c:v>
                </c:pt>
                <c:pt idx="3">
                  <c:v>33</c:v>
                </c:pt>
                <c:pt idx="4">
                  <c:v>60</c:v>
                </c:pt>
                <c:pt idx="5">
                  <c:v>57</c:v>
                </c:pt>
                <c:pt idx="6">
                  <c:v>70</c:v>
                </c:pt>
                <c:pt idx="7">
                  <c:v>56</c:v>
                </c:pt>
                <c:pt idx="8">
                  <c:v>46</c:v>
                </c:pt>
              </c:numCache>
            </c:numRef>
          </c:val>
        </c:ser>
        <c:ser>
          <c:idx val="3"/>
          <c:order val="3"/>
          <c:tx>
            <c:strRef>
              <c:f>Аркуш2!$E$1:$E$2</c:f>
              <c:strCache>
                <c:ptCount val="1"/>
                <c:pt idx="0">
                  <c:v>Початковий рівень %</c:v>
                </c:pt>
              </c:strCache>
            </c:strRef>
          </c:tx>
          <c:invertIfNegative val="0"/>
          <c:cat>
            <c:strRef>
              <c:f>Аркуш2!$A$3:$A$11</c:f>
              <c:strCache>
                <c:ptCount val="9"/>
                <c:pt idx="0">
                  <c:v>3-ті</c:v>
                </c:pt>
                <c:pt idx="1">
                  <c:v>4-ті</c:v>
                </c:pt>
                <c:pt idx="2">
                  <c:v>5-ті</c:v>
                </c:pt>
                <c:pt idx="3">
                  <c:v>6-ті</c:v>
                </c:pt>
                <c:pt idx="4">
                  <c:v>7-мі</c:v>
                </c:pt>
                <c:pt idx="5">
                  <c:v>8-мі</c:v>
                </c:pt>
                <c:pt idx="6">
                  <c:v>9-ті</c:v>
                </c:pt>
                <c:pt idx="7">
                  <c:v>10-ті</c:v>
                </c:pt>
                <c:pt idx="8">
                  <c:v>11-ті</c:v>
                </c:pt>
              </c:strCache>
            </c:strRef>
          </c:cat>
          <c:val>
            <c:numRef>
              <c:f>Аркуш2!$E$3:$E$11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234368"/>
        <c:axId val="261354560"/>
      </c:barChart>
      <c:catAx>
        <c:axId val="266234368"/>
        <c:scaling>
          <c:orientation val="minMax"/>
        </c:scaling>
        <c:delete val="0"/>
        <c:axPos val="b"/>
        <c:majorTickMark val="out"/>
        <c:minorTickMark val="none"/>
        <c:tickLblPos val="nextTo"/>
        <c:crossAx val="261354560"/>
        <c:crosses val="autoZero"/>
        <c:auto val="1"/>
        <c:lblAlgn val="ctr"/>
        <c:lblOffset val="100"/>
        <c:noMultiLvlLbl val="0"/>
      </c:catAx>
      <c:valAx>
        <c:axId val="26135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234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9760</Words>
  <Characters>5564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2024-06-26T09:08:00Z</dcterms:created>
  <dcterms:modified xsi:type="dcterms:W3CDTF">2024-06-26T09:15:00Z</dcterms:modified>
</cp:coreProperties>
</file>