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0A01" w14:textId="1001419A" w:rsidR="00BD13B6" w:rsidRPr="007462AA" w:rsidRDefault="00BD13B6" w:rsidP="007462AA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462A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ОБҐРУНТУВАННЯ</w:t>
      </w:r>
    </w:p>
    <w:p w14:paraId="1DE95A5F" w14:textId="0C2CDF74" w:rsidR="00BD13B6" w:rsidRPr="007462AA" w:rsidRDefault="00BD13B6" w:rsidP="007462AA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462A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Технічних та якісних характеристик, розміру бюджетного призначення, очікуваної вартості предмета</w:t>
      </w:r>
    </w:p>
    <w:p w14:paraId="4651B253" w14:textId="383D4D42" w:rsidR="00BD13B6" w:rsidRPr="007462AA" w:rsidRDefault="00BD13B6" w:rsidP="007462AA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462AA">
        <w:rPr>
          <w:rFonts w:ascii="Times New Roman" w:hAnsi="Times New Roman" w:cs="Times New Roman"/>
          <w:color w:val="000000" w:themeColor="text1"/>
          <w:sz w:val="22"/>
          <w:szCs w:val="22"/>
        </w:rPr>
        <w:t>(оприлюднюється на виконання постанови КМУ №710 від 11.10.2016 «Про ефективне використання державних коштів»</w:t>
      </w:r>
      <w:r w:rsidR="009375AB" w:rsidRPr="007462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462AA">
        <w:rPr>
          <w:rFonts w:ascii="Times New Roman" w:hAnsi="Times New Roman" w:cs="Times New Roman"/>
          <w:color w:val="000000" w:themeColor="text1"/>
          <w:sz w:val="22"/>
          <w:szCs w:val="22"/>
        </w:rPr>
        <w:t>(зі змінами)</w:t>
      </w:r>
    </w:p>
    <w:p w14:paraId="503BCB28" w14:textId="20ED937A" w:rsidR="00BD13B6" w:rsidRPr="007462AA" w:rsidRDefault="00BD13B6" w:rsidP="007462A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3F6FE8" w14:textId="7DB50725" w:rsidR="00BD13B6" w:rsidRPr="007462AA" w:rsidRDefault="00BD13B6" w:rsidP="007462AA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5527"/>
      </w:tblGrid>
      <w:tr w:rsidR="007462AA" w:rsidRPr="007462AA" w14:paraId="3D562C42" w14:textId="77777777" w:rsidTr="00B47C8C">
        <w:tc>
          <w:tcPr>
            <w:tcW w:w="9350" w:type="dxa"/>
            <w:gridSpan w:val="3"/>
          </w:tcPr>
          <w:p w14:paraId="0A6FAC0C" w14:textId="56FAD9CB" w:rsidR="00B47C8C" w:rsidRPr="007462AA" w:rsidRDefault="00B47C8C" w:rsidP="00746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Обґрунтування технічних та якісних характеристик, розміру бюджетного призначення, очікуваної вартості предмета</w:t>
            </w:r>
          </w:p>
          <w:p w14:paraId="7B77C890" w14:textId="7927EF9E" w:rsidR="00B47C8C" w:rsidRPr="007462AA" w:rsidRDefault="00B47C8C" w:rsidP="00746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462AA" w:rsidRPr="007462AA" w14:paraId="5A011116" w14:textId="77777777" w:rsidTr="001F3D13">
        <w:trPr>
          <w:trHeight w:val="3068"/>
        </w:trPr>
        <w:tc>
          <w:tcPr>
            <w:tcW w:w="846" w:type="dxa"/>
          </w:tcPr>
          <w:p w14:paraId="7DCCDCB6" w14:textId="5DAD1C9D" w:rsidR="00B47C8C" w:rsidRPr="007462AA" w:rsidRDefault="00B47C8C" w:rsidP="00746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373C394A" w14:textId="56701141" w:rsidR="00B47C8C" w:rsidRPr="007462AA" w:rsidRDefault="00B47C8C" w:rsidP="00746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Назва предмета закупівлі</w:t>
            </w:r>
          </w:p>
        </w:tc>
        <w:tc>
          <w:tcPr>
            <w:tcW w:w="5527" w:type="dxa"/>
          </w:tcPr>
          <w:p w14:paraId="02844305" w14:textId="41EDDACE" w:rsidR="007462AA" w:rsidRPr="007462AA" w:rsidRDefault="007462AA" w:rsidP="007462A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«Інтерактивна панель в комплекті (ДК 021:2015 – 32320000-2 Телевізійне й аудіовізуальне обладнання)».</w:t>
            </w:r>
          </w:p>
          <w:p w14:paraId="1797C126" w14:textId="2E3E245C" w:rsidR="009375AB" w:rsidRPr="00CA311B" w:rsidRDefault="001425B1" w:rsidP="007462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eastAsia="uk-UA"/>
              </w:rPr>
            </w:pPr>
            <w:bookmarkStart w:id="0" w:name="_Hlk179136765"/>
            <w:r w:rsidRPr="007462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Придбання </w:t>
            </w:r>
            <w:r w:rsidR="009375AB" w:rsidRPr="007462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мультимедійного обладнання (інтерактивн</w:t>
            </w:r>
            <w:r w:rsidR="007462AA" w:rsidRPr="007462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а</w:t>
            </w:r>
            <w:r w:rsidR="009375AB" w:rsidRPr="007462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 панел</w:t>
            </w:r>
            <w:r w:rsidR="007462AA" w:rsidRPr="007462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ь</w:t>
            </w:r>
            <w:r w:rsidR="009375AB" w:rsidRPr="007462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 в комплекті) з метою здійснення заходів із забезпечення якісної, сучасної та доступної загальної середньої </w:t>
            </w:r>
            <w:r w:rsidR="00E0370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освіти </w:t>
            </w:r>
            <w:bookmarkEnd w:id="0"/>
            <w:r w:rsidR="009375AB" w:rsidRPr="00CA31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eastAsia="uk-UA"/>
              </w:rPr>
              <w:t>відповідно до розпорядження Львівської ОДА від 05.08.2024 №750/0/5-ВА «Про перерозподіл субвенції» та пункту 7 постанови Кабінету Міністрів України від 19 вересня 2023 року № 1023 «Питання надання освітньої субвенції з державного бюджет місцевим бюджетам (за спеціальним фондом державного бюджету) у 2023 році».</w:t>
            </w:r>
          </w:p>
          <w:p w14:paraId="77F635EF" w14:textId="3C8CFAED" w:rsidR="001425B1" w:rsidRPr="007462AA" w:rsidRDefault="009375AB" w:rsidP="007462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ДК 021:2015 – 32320000-2 Телевізійне й аудіовізуальне обладнання</w:t>
            </w:r>
          </w:p>
          <w:p w14:paraId="1C6E9970" w14:textId="4479795E" w:rsidR="005B2FB8" w:rsidRPr="00E57128" w:rsidRDefault="00025B2E" w:rsidP="007462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7128">
              <w:rPr>
                <w:rFonts w:ascii="Times New Roman" w:hAnsi="Times New Roman" w:cs="Times New Roman"/>
                <w:sz w:val="22"/>
                <w:szCs w:val="22"/>
              </w:rPr>
              <w:t>Ідентифікатор закупівлі</w:t>
            </w:r>
            <w:r w:rsidR="009375AB" w:rsidRPr="00E5712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hyperlink r:id="rId6" w:tgtFrame="_blank" w:tooltip="Оголошення на порталі Уповноваженого органу" w:history="1">
              <w:r w:rsidR="00E57128" w:rsidRPr="00E57128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UA-2024-10</w:t>
              </w:r>
              <w:r w:rsidR="00E57128" w:rsidRPr="00E57128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-17-016620-a</w:t>
              </w:r>
            </w:hyperlink>
          </w:p>
        </w:tc>
      </w:tr>
      <w:tr w:rsidR="007462AA" w:rsidRPr="007462AA" w14:paraId="2CBA60B2" w14:textId="77777777" w:rsidTr="00B47C8C">
        <w:tc>
          <w:tcPr>
            <w:tcW w:w="846" w:type="dxa"/>
          </w:tcPr>
          <w:p w14:paraId="75F96A0E" w14:textId="552F9A5C" w:rsidR="00B47C8C" w:rsidRPr="007462AA" w:rsidRDefault="00B47C8C" w:rsidP="00746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7C669EF5" w14:textId="7806AA57" w:rsidR="00B47C8C" w:rsidRPr="007462AA" w:rsidRDefault="00B47C8C" w:rsidP="00746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Обґрунтування технічних та якісних характеристик предмета</w:t>
            </w:r>
          </w:p>
        </w:tc>
        <w:tc>
          <w:tcPr>
            <w:tcW w:w="5527" w:type="dxa"/>
          </w:tcPr>
          <w:p w14:paraId="2A3C73B4" w14:textId="2002A965" w:rsidR="00B47C8C" w:rsidRPr="007462AA" w:rsidRDefault="004537C7" w:rsidP="00746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Технічні та якісні характеристики предмету закупівлі визначені </w:t>
            </w:r>
            <w:r w:rsidRPr="00E57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відповідно до потреб замовника</w:t>
            </w:r>
            <w:r w:rsidR="001425B1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382427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 метою реалізації </w:t>
            </w:r>
            <w:r w:rsidR="009375AB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здійснення заходів із забезпечення якісної, сучасної та доступної загальної середньої освіти “Нова українська школа” </w:t>
            </w:r>
            <w:r w:rsidR="00382427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ліцеї імені І. Пулюя </w:t>
            </w:r>
            <w:r w:rsidR="00CA311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ЛМР </w:t>
            </w:r>
            <w:r w:rsidR="00382427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вул. І. Пулюя, 16.</w:t>
            </w:r>
          </w:p>
          <w:p w14:paraId="5DF72C88" w14:textId="24B4B861" w:rsidR="008F1F40" w:rsidRPr="007462AA" w:rsidRDefault="008F1F40" w:rsidP="00746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Технічні та якісні характеристики товару повинні відповідати чинним нормативним актам (державним стандартам / технічним умовам / нормам). Якість товару повинна відповідати умовам / вимогам, встановленим чинним законодавством України для цієї категорії товару.</w:t>
            </w:r>
          </w:p>
          <w:p w14:paraId="6E743D89" w14:textId="77777777" w:rsidR="008F1F40" w:rsidRPr="007462AA" w:rsidRDefault="008F1F40" w:rsidP="00746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Кількість та строк постачання визначено відповідно до потреби замовника.</w:t>
            </w:r>
          </w:p>
          <w:p w14:paraId="7DF92F4D" w14:textId="0896F548" w:rsidR="008F1F40" w:rsidRPr="007462AA" w:rsidRDefault="008F1F40" w:rsidP="00746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Упаковка товару повинна забезпечувати повне його збереження від всякого роду пошкоджень при транспортуванні.</w:t>
            </w:r>
          </w:p>
          <w:p w14:paraId="2B6E1335" w14:textId="2EB7123A" w:rsidR="008F1F40" w:rsidRPr="007462AA" w:rsidRDefault="008F1F40" w:rsidP="00746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 місцях, де технічна специфікація містить посилання на конкретні марку чи виробника або на</w:t>
            </w:r>
            <w:r w:rsidR="00E57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конкретний процес, що характеризує продукт чи послугу певного суб’єкта господарювання, чи на торгові</w:t>
            </w:r>
            <w:r w:rsidR="00D0574D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марки, патенти, типи або конкретне місце походження чи спосіб виробництва, вважати вираз «або</w:t>
            </w:r>
            <w:r w:rsidR="00D0574D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еквівалент».</w:t>
            </w:r>
          </w:p>
          <w:p w14:paraId="07ED1139" w14:textId="39E6DE34" w:rsidR="008F1F40" w:rsidRPr="007462AA" w:rsidRDefault="008F1F40" w:rsidP="00746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У місцях, де технічна специфікація містить посилання на стандартні характеристики, технічні регламенти</w:t>
            </w:r>
            <w:r w:rsidR="00D0574D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 умови, вимоги, умовні позначення та термінологію, пов’язані з товарами, роботами чи послугами, що</w:t>
            </w:r>
            <w:r w:rsidR="00D0574D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закуповуються, передбачені існуючими міжнародними, європейськими стандартами, іншими спільними</w:t>
            </w:r>
            <w:r w:rsidR="00D0574D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технічними європейськими нормами, іншими технічними еталонними системами, визнаними європейськими</w:t>
            </w:r>
            <w:r w:rsidR="00D0574D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органами зі стандартизації або національними стандартами, нормами та правилами, біля кожного такого</w:t>
            </w:r>
            <w:r w:rsidR="00D0574D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посилання вважати вираз «або еквівалент». Таким чином, вважається, що до кожного посилання додається</w:t>
            </w:r>
            <w:r w:rsidR="00D0574D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вираз «або еквівалент».</w:t>
            </w:r>
            <w:r w:rsidR="00D0574D"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462AA" w:rsidRPr="007462AA" w14:paraId="6B0FF168" w14:textId="77777777" w:rsidTr="00B47C8C">
        <w:tc>
          <w:tcPr>
            <w:tcW w:w="846" w:type="dxa"/>
          </w:tcPr>
          <w:p w14:paraId="051C4DDB" w14:textId="1E41A7C5" w:rsidR="00B47C8C" w:rsidRPr="007462AA" w:rsidRDefault="00B47C8C" w:rsidP="00746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977" w:type="dxa"/>
          </w:tcPr>
          <w:p w14:paraId="29E37F16" w14:textId="59EAEBB4" w:rsidR="00B47C8C" w:rsidRPr="007462AA" w:rsidRDefault="00B47C8C" w:rsidP="00746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62A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27" w:type="dxa"/>
          </w:tcPr>
          <w:p w14:paraId="66131511" w14:textId="404305B4" w:rsidR="008F1F40" w:rsidRPr="007462AA" w:rsidRDefault="008F1F40" w:rsidP="007462AA"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462AA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доступі, в електронній системі </w:t>
            </w:r>
            <w:proofErr w:type="spellStart"/>
            <w:r w:rsidRPr="007462AA">
              <w:rPr>
                <w:b w:val="0"/>
                <w:bCs w:val="0"/>
                <w:color w:val="000000" w:themeColor="text1"/>
                <w:sz w:val="22"/>
                <w:szCs w:val="22"/>
              </w:rPr>
              <w:t>закупівель</w:t>
            </w:r>
            <w:proofErr w:type="spellEnd"/>
            <w:r w:rsidRPr="007462AA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7462AA">
              <w:rPr>
                <w:b w:val="0"/>
                <w:bCs w:val="0"/>
                <w:color w:val="000000" w:themeColor="text1"/>
                <w:sz w:val="22"/>
                <w:szCs w:val="22"/>
              </w:rPr>
              <w:t>Прозорро</w:t>
            </w:r>
            <w:proofErr w:type="spellEnd"/>
            <w:r w:rsidRPr="00E57128">
              <w:rPr>
                <w:b w:val="0"/>
                <w:bCs w:val="0"/>
                <w:color w:val="000000" w:themeColor="text1"/>
                <w:sz w:val="22"/>
                <w:szCs w:val="22"/>
              </w:rPr>
              <w:t>», а також порівняння ринкових цін.</w:t>
            </w:r>
          </w:p>
          <w:p w14:paraId="780E901C" w14:textId="750376A0" w:rsidR="001F3D13" w:rsidRPr="007462AA" w:rsidRDefault="009375AB" w:rsidP="007462AA"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462AA">
              <w:rPr>
                <w:b w:val="0"/>
                <w:bCs w:val="0"/>
                <w:color w:val="000000" w:themeColor="text1"/>
                <w:sz w:val="22"/>
                <w:szCs w:val="22"/>
              </w:rPr>
              <w:t>З</w:t>
            </w:r>
            <w:r w:rsidR="008F1F40" w:rsidRPr="007462AA">
              <w:rPr>
                <w:b w:val="0"/>
                <w:bCs w:val="0"/>
                <w:color w:val="000000" w:themeColor="text1"/>
                <w:sz w:val="22"/>
                <w:szCs w:val="22"/>
              </w:rPr>
              <w:t>акупівля з</w:t>
            </w:r>
            <w:r w:rsidRPr="007462AA">
              <w:rPr>
                <w:b w:val="0"/>
                <w:bCs w:val="0"/>
                <w:color w:val="000000" w:themeColor="text1"/>
                <w:sz w:val="22"/>
                <w:szCs w:val="22"/>
                <w:lang w:eastAsia="uk-UA"/>
              </w:rPr>
              <w:t>дійснюється за рахунок коштів субвенції та коштів міського бюджету на умовах співфінансування на закупівлю мультимедійного обладнання.</w:t>
            </w:r>
          </w:p>
          <w:p w14:paraId="226F4374" w14:textId="1C360AEF" w:rsidR="00B47C8C" w:rsidRPr="007462AA" w:rsidRDefault="001F3D13" w:rsidP="007462AA"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866CE">
              <w:rPr>
                <w:b w:val="0"/>
                <w:bCs w:val="0"/>
                <w:color w:val="000000" w:themeColor="text1"/>
                <w:sz w:val="22"/>
                <w:szCs w:val="22"/>
              </w:rPr>
              <w:t>Розмір бюджетного призначення складає</w:t>
            </w:r>
            <w:r w:rsidR="008F1F40" w:rsidRPr="00B866CE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B866CE" w:rsidRPr="005030B5">
              <w:rPr>
                <w:b w:val="0"/>
                <w:bCs w:val="0"/>
                <w:color w:val="000000" w:themeColor="text1"/>
                <w:sz w:val="22"/>
                <w:szCs w:val="22"/>
                <w:lang w:eastAsia="uk-UA"/>
              </w:rPr>
              <w:t>244149.00 грн.</w:t>
            </w:r>
            <w:r w:rsidR="00B866CE" w:rsidRPr="00B866CE">
              <w:rPr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462AA" w:rsidRPr="00B866CE">
              <w:rPr>
                <w:b w:val="0"/>
                <w:bCs w:val="0"/>
                <w:color w:val="000000" w:themeColor="text1"/>
                <w:sz w:val="22"/>
                <w:szCs w:val="22"/>
              </w:rPr>
              <w:t>відповідно до довідк</w:t>
            </w:r>
            <w:r w:rsidR="00B866CE" w:rsidRPr="00B866CE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и </w:t>
            </w:r>
            <w:r w:rsidR="007462AA" w:rsidRPr="00B866CE">
              <w:rPr>
                <w:b w:val="0"/>
                <w:bCs w:val="0"/>
                <w:color w:val="000000" w:themeColor="text1"/>
                <w:sz w:val="22"/>
                <w:szCs w:val="22"/>
              </w:rPr>
              <w:t>змін до кошторису</w:t>
            </w:r>
            <w:r w:rsidR="00B866CE" w:rsidRPr="00B866CE">
              <w:rPr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178F2F22" w14:textId="19A35CD0" w:rsidR="004A36FA" w:rsidRPr="007462AA" w:rsidRDefault="004A36FA" w:rsidP="007462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7462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 xml:space="preserve">Кошти субвенції 170903.00 грн. співфінансування 73246.00 грн., загальна сума - </w:t>
            </w:r>
            <w:bookmarkStart w:id="1" w:name="_Hlk179137289"/>
            <w:r w:rsidRPr="007462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  <w:t>244149.00 грн.</w:t>
            </w:r>
            <w:bookmarkEnd w:id="1"/>
          </w:p>
        </w:tc>
      </w:tr>
    </w:tbl>
    <w:p w14:paraId="24E01DEA" w14:textId="77777777" w:rsidR="00BD13B6" w:rsidRPr="007462AA" w:rsidRDefault="00BD13B6" w:rsidP="007462AA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BD13B6" w:rsidRPr="007462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46CD"/>
    <w:multiLevelType w:val="multilevel"/>
    <w:tmpl w:val="DB363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9302C"/>
    <w:multiLevelType w:val="multilevel"/>
    <w:tmpl w:val="952C6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B6"/>
    <w:rsid w:val="00025B2E"/>
    <w:rsid w:val="00083A9E"/>
    <w:rsid w:val="000E13D3"/>
    <w:rsid w:val="001425B1"/>
    <w:rsid w:val="001A5E63"/>
    <w:rsid w:val="001F3D13"/>
    <w:rsid w:val="00366B06"/>
    <w:rsid w:val="00382427"/>
    <w:rsid w:val="00413030"/>
    <w:rsid w:val="004537C7"/>
    <w:rsid w:val="004A36FA"/>
    <w:rsid w:val="004E4060"/>
    <w:rsid w:val="005030B5"/>
    <w:rsid w:val="00521DDA"/>
    <w:rsid w:val="005B2FB8"/>
    <w:rsid w:val="007462AA"/>
    <w:rsid w:val="007565D0"/>
    <w:rsid w:val="007675F7"/>
    <w:rsid w:val="007D6843"/>
    <w:rsid w:val="008D2438"/>
    <w:rsid w:val="008F1F40"/>
    <w:rsid w:val="00926E21"/>
    <w:rsid w:val="009375AB"/>
    <w:rsid w:val="00962B91"/>
    <w:rsid w:val="00AD50A1"/>
    <w:rsid w:val="00B47C8C"/>
    <w:rsid w:val="00B866CE"/>
    <w:rsid w:val="00BD13B6"/>
    <w:rsid w:val="00BF2EDF"/>
    <w:rsid w:val="00CA311B"/>
    <w:rsid w:val="00CA619E"/>
    <w:rsid w:val="00D0574D"/>
    <w:rsid w:val="00E03705"/>
    <w:rsid w:val="00E4411C"/>
    <w:rsid w:val="00E57128"/>
    <w:rsid w:val="00F95F66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1D89"/>
  <w15:chartTrackingRefBased/>
  <w15:docId w15:val="{0513F068-2B92-BC41-969E-FB0E3B09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47C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47C8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B47C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B47C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47C8C"/>
  </w:style>
  <w:style w:type="character" w:customStyle="1" w:styleId="10">
    <w:name w:val="Заголовок 1 Знак"/>
    <w:basedOn w:val="a0"/>
    <w:link w:val="1"/>
    <w:uiPriority w:val="9"/>
    <w:rsid w:val="005B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aliases w:val="Bullets,En tête 1,Γράφημα,Citation List,본문(내용),List Paragraph (numbered (a)),Elenco Normale,----,EBRD List,CA bullets,AC List 01,Details,Заголовок 1.1,Список уровня 2,название табл/рис,заголовок 1.1,Number Bullets,1 Буллет,Bullet Number"/>
    <w:basedOn w:val="a"/>
    <w:link w:val="a5"/>
    <w:uiPriority w:val="1"/>
    <w:qFormat/>
    <w:rsid w:val="00D0574D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у Знак"/>
    <w:aliases w:val="Bullets Знак,En tête 1 Знак,Γράφημα Знак,Citation List Знак,본문(내용) Знак,List Paragraph (numbered (a)) Знак,Elenco Normale Знак,---- Знак,EBRD List Знак,CA bullets Знак,AC List 01 Знак,Details Знак,Заголовок 1.1 Знак,заголовок 1.1 Знак"/>
    <w:link w:val="a4"/>
    <w:uiPriority w:val="1"/>
    <w:qFormat/>
    <w:locked/>
    <w:rsid w:val="00D0574D"/>
    <w:rPr>
      <w:sz w:val="22"/>
      <w:szCs w:val="22"/>
    </w:rPr>
  </w:style>
  <w:style w:type="character" w:customStyle="1" w:styleId="js-apiid">
    <w:name w:val="js-apiid"/>
    <w:basedOn w:val="a0"/>
    <w:rsid w:val="00E57128"/>
  </w:style>
  <w:style w:type="character" w:styleId="a6">
    <w:name w:val="Hyperlink"/>
    <w:basedOn w:val="a0"/>
    <w:uiPriority w:val="99"/>
    <w:unhideWhenUsed/>
    <w:rsid w:val="00E5712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A3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0-17-01662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65CC-1E37-D040-80CC-08648798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2308</Words>
  <Characters>1317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Люба _</cp:lastModifiedBy>
  <cp:revision>12</cp:revision>
  <cp:lastPrinted>2022-01-12T10:20:00Z</cp:lastPrinted>
  <dcterms:created xsi:type="dcterms:W3CDTF">2024-10-06T16:23:00Z</dcterms:created>
  <dcterms:modified xsi:type="dcterms:W3CDTF">2024-10-17T20:18:00Z</dcterms:modified>
</cp:coreProperties>
</file>